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9" w:type="dxa"/>
        <w:tblLayout w:type="fixed"/>
        <w:tblLook w:val="04A0" w:firstRow="1" w:lastRow="0" w:firstColumn="1" w:lastColumn="0" w:noHBand="0" w:noVBand="1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1C43BE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1C43BE">
              <w:rPr>
                <w:b/>
                <w:szCs w:val="24"/>
              </w:rPr>
              <w:t>Tuesday</w:t>
            </w:r>
            <w:r w:rsidR="00040965" w:rsidRPr="00D2703B">
              <w:rPr>
                <w:b/>
                <w:szCs w:val="24"/>
              </w:rPr>
              <w:t xml:space="preserve">, </w:t>
            </w:r>
            <w:r w:rsidR="001C43BE">
              <w:rPr>
                <w:b/>
                <w:szCs w:val="24"/>
              </w:rPr>
              <w:t>11.01</w:t>
            </w:r>
            <w:r w:rsidR="00E53769" w:rsidRPr="00D2703B">
              <w:rPr>
                <w:b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2E4373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A743A2">
              <w:rPr>
                <w:b/>
                <w:sz w:val="28"/>
              </w:rPr>
              <w:t>76-90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>
            <w:bookmarkStart w:id="0" w:name="_GoBack"/>
            <w:bookmarkEnd w:id="0"/>
          </w:p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 xml:space="preserve">Learn to </w:t>
            </w:r>
            <w:r w:rsidR="001E631B">
              <w:rPr>
                <w:b/>
              </w:rPr>
              <w:t xml:space="preserve">make inferences using narrative or pictorial text.  </w:t>
            </w:r>
          </w:p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1B3A64" w:rsidRPr="008C47DF" w:rsidRDefault="00826F2E" w:rsidP="001B3A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do </w:t>
            </w:r>
            <w:r w:rsidR="001E631B">
              <w:rPr>
                <w:b/>
                <w:sz w:val="28"/>
              </w:rPr>
              <w:t xml:space="preserve">identify important details that help tell the story in written text or clues in pictures only text?  </w:t>
            </w:r>
          </w:p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6861" w:rsidRDefault="001B3A64" w:rsidP="00906861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906861" w:rsidRDefault="00906861" w:rsidP="001E63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“What is Inferencing?” PowerPoint (review/restatement)</w:t>
            </w:r>
          </w:p>
          <w:p w:rsidR="001C6A3B" w:rsidRDefault="001C6A3B" w:rsidP="00B305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“Riddles”  PowerPoint (using Inferencing to draw conclusions) </w:t>
            </w:r>
          </w:p>
          <w:p w:rsidR="00B3058D" w:rsidRDefault="001E631B" w:rsidP="001C6A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“Two Minute Mysteries”</w:t>
            </w:r>
            <w:r w:rsidR="007D34D1">
              <w:rPr>
                <w:b/>
                <w:sz w:val="28"/>
              </w:rPr>
              <w:t xml:space="preserve"> Website</w:t>
            </w:r>
            <w:r>
              <w:rPr>
                <w:b/>
                <w:sz w:val="28"/>
              </w:rPr>
              <w:t xml:space="preserve"> (teacher </w:t>
            </w:r>
            <w:r w:rsidR="007D34D1">
              <w:rPr>
                <w:b/>
                <w:sz w:val="28"/>
              </w:rPr>
              <w:t xml:space="preserve">or student </w:t>
            </w:r>
            <w:r>
              <w:rPr>
                <w:b/>
                <w:sz w:val="28"/>
              </w:rPr>
              <w:t>read aloud</w:t>
            </w:r>
            <w:r w:rsidR="001C6A3B">
              <w:rPr>
                <w:b/>
                <w:sz w:val="28"/>
              </w:rPr>
              <w:t xml:space="preserve"> activity</w:t>
            </w:r>
            <w:r>
              <w:rPr>
                <w:b/>
                <w:sz w:val="28"/>
              </w:rPr>
              <w:t>)</w:t>
            </w:r>
          </w:p>
          <w:p w:rsidR="001C6A3B" w:rsidRDefault="00230DA9" w:rsidP="001C6A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(Alternative texts are Encyclopedia Brown books or Two Minute Mysteries by Donald </w:t>
            </w:r>
            <w:proofErr w:type="spellStart"/>
            <w:r>
              <w:rPr>
                <w:b/>
                <w:sz w:val="28"/>
              </w:rPr>
              <w:t>Sobol</w:t>
            </w:r>
            <w:proofErr w:type="spellEnd"/>
            <w:r>
              <w:rPr>
                <w:b/>
                <w:sz w:val="28"/>
              </w:rPr>
              <w:t>)</w:t>
            </w:r>
          </w:p>
          <w:p w:rsidR="008C47DF" w:rsidRPr="00B3058D" w:rsidRDefault="008C47DF" w:rsidP="001C6A3B">
            <w:pPr>
              <w:rPr>
                <w:b/>
                <w:sz w:val="28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222893" w:rsidRDefault="00F322A4" w:rsidP="00340F47">
            <w:pPr>
              <w:rPr>
                <w:sz w:val="24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6B1B44">
              <w:rPr>
                <w:b/>
                <w:sz w:val="24"/>
                <w:u w:val="single"/>
              </w:rPr>
              <w:t xml:space="preserve">Reading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1C6A3B">
              <w:rPr>
                <w:b/>
                <w:sz w:val="28"/>
              </w:rPr>
              <w:t xml:space="preserve">“What is Inferencing?” </w:t>
            </w:r>
            <w:proofErr w:type="gramStart"/>
            <w:r w:rsidR="001C6A3B">
              <w:rPr>
                <w:b/>
                <w:sz w:val="28"/>
              </w:rPr>
              <w:t>PowerPoint  -</w:t>
            </w:r>
            <w:proofErr w:type="gramEnd"/>
            <w:r w:rsidR="001C6A3B">
              <w:rPr>
                <w:b/>
                <w:sz w:val="28"/>
              </w:rPr>
              <w:t xml:space="preserve"> </w:t>
            </w:r>
            <w:r w:rsidR="001C6A3B" w:rsidRPr="001C6A3B">
              <w:rPr>
                <w:sz w:val="28"/>
              </w:rPr>
              <w:t xml:space="preserve">  </w:t>
            </w:r>
            <w:r w:rsidR="00222893">
              <w:rPr>
                <w:b/>
                <w:sz w:val="24"/>
              </w:rPr>
              <w:t xml:space="preserve">Class discussion to activate prior knowledge.   </w:t>
            </w:r>
          </w:p>
          <w:p w:rsidR="0083796B" w:rsidRDefault="00222893" w:rsidP="007D5E14">
            <w:pPr>
              <w:rPr>
                <w:sz w:val="24"/>
              </w:rPr>
            </w:pPr>
            <w:r w:rsidRPr="001C6A3B">
              <w:rPr>
                <w:b/>
                <w:sz w:val="24"/>
              </w:rPr>
              <w:t>Review</w:t>
            </w:r>
            <w:r>
              <w:rPr>
                <w:sz w:val="24"/>
              </w:rPr>
              <w:t xml:space="preserve"> of Inferencing.</w:t>
            </w:r>
            <w:r>
              <w:rPr>
                <w:b/>
                <w:sz w:val="24"/>
              </w:rPr>
              <w:t xml:space="preserve">  </w:t>
            </w:r>
            <w:r w:rsidR="00375AD3" w:rsidRPr="009820DD">
              <w:rPr>
                <w:sz w:val="24"/>
              </w:rPr>
              <w:t xml:space="preserve">What </w:t>
            </w:r>
            <w:r w:rsidR="00375AD3" w:rsidRPr="009820DD">
              <w:rPr>
                <w:b/>
                <w:sz w:val="24"/>
              </w:rPr>
              <w:t>details</w:t>
            </w:r>
            <w:r w:rsidR="00375AD3" w:rsidRPr="009820DD">
              <w:rPr>
                <w:sz w:val="24"/>
              </w:rPr>
              <w:t xml:space="preserve"> should you look for when reading text, looking at pictures or watching video?  </w:t>
            </w:r>
            <w:r w:rsidR="009820DD">
              <w:rPr>
                <w:sz w:val="24"/>
              </w:rPr>
              <w:t>Explanation before starting PowerPoint that a text can be written, a picture, video, a brochure – anything that provides information to an observer.  For example: a receipt is a non-fiction text</w:t>
            </w:r>
            <w:r w:rsidR="0002228C">
              <w:rPr>
                <w:sz w:val="24"/>
              </w:rPr>
              <w:t xml:space="preserve"> and cartoon is a fiction text.  </w:t>
            </w:r>
          </w:p>
          <w:p w:rsidR="00C34296" w:rsidRPr="000E3461" w:rsidRDefault="00C34296" w:rsidP="007D5E14">
            <w:pPr>
              <w:rPr>
                <w:b/>
                <w:sz w:val="28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240A80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222893" w:rsidRDefault="00F35194" w:rsidP="00222893">
            <w:pPr>
              <w:rPr>
                <w:b/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B32A7E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222893">
              <w:rPr>
                <w:b/>
                <w:sz w:val="28"/>
              </w:rPr>
              <w:t xml:space="preserve">“Riddles” </w:t>
            </w:r>
            <w:proofErr w:type="gramStart"/>
            <w:r w:rsidR="00222893">
              <w:rPr>
                <w:b/>
                <w:sz w:val="28"/>
              </w:rPr>
              <w:t xml:space="preserve">PowerPoint </w:t>
            </w:r>
            <w:r w:rsidR="00832A97" w:rsidRPr="000014BE">
              <w:rPr>
                <w:sz w:val="24"/>
              </w:rPr>
              <w:t xml:space="preserve"> </w:t>
            </w:r>
            <w:r w:rsidR="000014BE">
              <w:rPr>
                <w:b/>
                <w:sz w:val="24"/>
              </w:rPr>
              <w:t>–</w:t>
            </w:r>
            <w:proofErr w:type="gramEnd"/>
            <w:r w:rsidR="00222893">
              <w:rPr>
                <w:b/>
                <w:sz w:val="24"/>
              </w:rPr>
              <w:t xml:space="preserve"> Riddles are a formula for creating a text where readers have to figure out or infer what detail is missing from the story and answer a question.  Class participates in solving several riddles by using their Inferencing </w:t>
            </w:r>
            <w:r w:rsidR="00222893">
              <w:rPr>
                <w:b/>
                <w:sz w:val="24"/>
              </w:rPr>
              <w:lastRenderedPageBreak/>
              <w:t>skills</w:t>
            </w:r>
            <w:r w:rsidR="0043429F">
              <w:rPr>
                <w:b/>
                <w:sz w:val="24"/>
              </w:rPr>
              <w:t xml:space="preserve"> and Problem-Solution graphic organizer</w:t>
            </w:r>
            <w:r w:rsidR="00222893">
              <w:rPr>
                <w:b/>
                <w:sz w:val="24"/>
              </w:rPr>
              <w:t xml:space="preserve">.  </w:t>
            </w:r>
          </w:p>
          <w:p w:rsidR="00222893" w:rsidRDefault="00222893" w:rsidP="00807615">
            <w:pPr>
              <w:rPr>
                <w:b/>
                <w:sz w:val="24"/>
              </w:rPr>
            </w:pPr>
            <w:r w:rsidRPr="00BC33E7">
              <w:rPr>
                <w:sz w:val="24"/>
              </w:rPr>
              <w:t xml:space="preserve">Students will create a chart in their notebooks.  It will have 3 columns labeled “Problem”, “Information” and “Solution”.  Students will need to write the question asked in the text in the “Problem” column.  Students will then list the clues given </w:t>
            </w:r>
            <w:r w:rsidR="00783354" w:rsidRPr="00BC33E7">
              <w:rPr>
                <w:sz w:val="24"/>
              </w:rPr>
              <w:t xml:space="preserve">in the text </w:t>
            </w:r>
            <w:r w:rsidRPr="00BC33E7">
              <w:rPr>
                <w:sz w:val="24"/>
              </w:rPr>
              <w:t xml:space="preserve">in the </w:t>
            </w:r>
            <w:r w:rsidR="00783354" w:rsidRPr="00BC33E7">
              <w:rPr>
                <w:sz w:val="24"/>
              </w:rPr>
              <w:t>“</w:t>
            </w:r>
            <w:r w:rsidRPr="00BC33E7">
              <w:rPr>
                <w:sz w:val="24"/>
              </w:rPr>
              <w:t>Information” column</w:t>
            </w:r>
            <w:r w:rsidR="00783354" w:rsidRPr="00BC33E7">
              <w:rPr>
                <w:sz w:val="24"/>
              </w:rPr>
              <w:t>.  And finally they will</w:t>
            </w:r>
            <w:r w:rsidRPr="00BC33E7">
              <w:rPr>
                <w:sz w:val="24"/>
              </w:rPr>
              <w:t xml:space="preserve"> write</w:t>
            </w:r>
            <w:r w:rsidR="00783354" w:rsidRPr="00BC33E7">
              <w:rPr>
                <w:sz w:val="24"/>
              </w:rPr>
              <w:t xml:space="preserve"> their prediction in the</w:t>
            </w:r>
            <w:r w:rsidRPr="00BC33E7">
              <w:rPr>
                <w:sz w:val="24"/>
              </w:rPr>
              <w:t xml:space="preserve"> “Solution” Column.</w:t>
            </w:r>
            <w:r>
              <w:rPr>
                <w:b/>
                <w:sz w:val="24"/>
              </w:rPr>
              <w:t xml:space="preserve">  </w:t>
            </w:r>
          </w:p>
          <w:p w:rsidR="00807615" w:rsidRPr="00D244E6" w:rsidRDefault="00807615" w:rsidP="00807615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Teacher will lead students through several riddles from the PowerPoint.  </w:t>
            </w: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360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4D1BD2" w:rsidRPr="00230DA9" w:rsidRDefault="00F35194" w:rsidP="004D1BD2">
            <w:pPr>
              <w:rPr>
                <w:b/>
                <w:sz w:val="28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2430C7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</w:t>
            </w:r>
            <w:r w:rsidRPr="003044EE">
              <w:rPr>
                <w:b/>
                <w:sz w:val="24"/>
                <w:szCs w:val="24"/>
                <w:u w:val="single"/>
              </w:rPr>
              <w:t>:</w:t>
            </w:r>
            <w:r w:rsidRPr="003044EE">
              <w:rPr>
                <w:b/>
                <w:sz w:val="24"/>
                <w:szCs w:val="24"/>
              </w:rPr>
              <w:t xml:space="preserve"> </w:t>
            </w:r>
            <w:r w:rsidR="006F029A" w:rsidRPr="003044EE">
              <w:rPr>
                <w:b/>
                <w:sz w:val="24"/>
                <w:szCs w:val="24"/>
              </w:rPr>
              <w:t xml:space="preserve"> </w:t>
            </w:r>
            <w:r w:rsidR="00230DA9">
              <w:rPr>
                <w:b/>
                <w:sz w:val="28"/>
              </w:rPr>
              <w:t xml:space="preserve">“Two Minute Mysteries” Website </w:t>
            </w:r>
            <w:r w:rsidR="001B31F7">
              <w:rPr>
                <w:b/>
                <w:sz w:val="28"/>
              </w:rPr>
              <w:t xml:space="preserve">(end of Riddles PPT) </w:t>
            </w:r>
            <w:r w:rsidR="00230DA9">
              <w:rPr>
                <w:b/>
                <w:sz w:val="28"/>
              </w:rPr>
              <w:t xml:space="preserve">– </w:t>
            </w:r>
            <w:r w:rsidR="00230DA9">
              <w:rPr>
                <w:sz w:val="24"/>
              </w:rPr>
              <w:t xml:space="preserve">Students will then apply what they have learned as a class to individual work displayed on the whiteboard.  </w:t>
            </w:r>
          </w:p>
          <w:p w:rsidR="00C21F3B" w:rsidRDefault="00C21F3B" w:rsidP="00727FC5">
            <w:pPr>
              <w:rPr>
                <w:sz w:val="24"/>
              </w:rPr>
            </w:pPr>
          </w:p>
          <w:p w:rsidR="00244521" w:rsidRDefault="00244521" w:rsidP="00244521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 w:rsidR="00F15826">
              <w:rPr>
                <w:sz w:val="24"/>
              </w:rPr>
              <w:t xml:space="preserve"> </w:t>
            </w:r>
            <w:r w:rsidR="00230DA9">
              <w:rPr>
                <w:sz w:val="24"/>
              </w:rPr>
              <w:t>Students will use the Problem-Solution chart</w:t>
            </w:r>
            <w:r w:rsidR="00CC0F36">
              <w:rPr>
                <w:sz w:val="24"/>
              </w:rPr>
              <w:t xml:space="preserve"> and then </w:t>
            </w:r>
            <w:r w:rsidR="00230DA9">
              <w:rPr>
                <w:sz w:val="24"/>
              </w:rPr>
              <w:t xml:space="preserve">write down a 1-2 sentence answer </w:t>
            </w:r>
            <w:r w:rsidR="00CC0F36">
              <w:rPr>
                <w:sz w:val="24"/>
              </w:rPr>
              <w:t xml:space="preserve">(in their notebook) </w:t>
            </w:r>
            <w:r w:rsidR="00230DA9">
              <w:rPr>
                <w:sz w:val="24"/>
              </w:rPr>
              <w:t xml:space="preserve">to a “Two Minute Mystery” read by the teacher.  Teacher will go over each mystery after a majority of the students have answers written.  </w:t>
            </w: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CB276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CC0F36">
              <w:rPr>
                <w:sz w:val="24"/>
                <w:szCs w:val="24"/>
              </w:rPr>
              <w:t xml:space="preserve">Informal.  Have students read their answers and see if they </w:t>
            </w:r>
            <w:r w:rsidR="00DD7926">
              <w:rPr>
                <w:sz w:val="24"/>
                <w:szCs w:val="24"/>
              </w:rPr>
              <w:t xml:space="preserve">identified the clues needed to find the solution to the problem in the short text.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B80FA4" w:rsidRDefault="00B80FA4" w:rsidP="00B80FA4">
            <w:r>
              <w:t xml:space="preserve">AG:  Additional Graphic Organizers will be available to extend learning.  </w:t>
            </w:r>
          </w:p>
          <w:p w:rsidR="00B80FA4" w:rsidRDefault="00B80FA4" w:rsidP="00B80FA4">
            <w:r>
              <w:t xml:space="preserve">SPED:  Students will receive a printed set of notes.  They will </w:t>
            </w:r>
            <w:r w:rsidR="00DD7926">
              <w:t xml:space="preserve">still participate in the writing exercises.  </w:t>
            </w:r>
          </w:p>
          <w:p w:rsidR="00B80FA4" w:rsidRDefault="00B80FA4" w:rsidP="00B80FA4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8C47DF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16E2"/>
    <w:rsid w:val="000014BE"/>
    <w:rsid w:val="00010764"/>
    <w:rsid w:val="00012F49"/>
    <w:rsid w:val="0002228C"/>
    <w:rsid w:val="00040965"/>
    <w:rsid w:val="00063801"/>
    <w:rsid w:val="00072FE8"/>
    <w:rsid w:val="00074464"/>
    <w:rsid w:val="00090364"/>
    <w:rsid w:val="000B7C49"/>
    <w:rsid w:val="000C40F5"/>
    <w:rsid w:val="000E3461"/>
    <w:rsid w:val="00107DDA"/>
    <w:rsid w:val="001260B0"/>
    <w:rsid w:val="00181D89"/>
    <w:rsid w:val="001A080E"/>
    <w:rsid w:val="001B31F7"/>
    <w:rsid w:val="001B3A64"/>
    <w:rsid w:val="001C43BE"/>
    <w:rsid w:val="001C6A3B"/>
    <w:rsid w:val="001D71BC"/>
    <w:rsid w:val="001E631B"/>
    <w:rsid w:val="00200380"/>
    <w:rsid w:val="002174C1"/>
    <w:rsid w:val="00222893"/>
    <w:rsid w:val="00230DA9"/>
    <w:rsid w:val="002349BD"/>
    <w:rsid w:val="00235CA1"/>
    <w:rsid w:val="00240A80"/>
    <w:rsid w:val="002430C7"/>
    <w:rsid w:val="00244521"/>
    <w:rsid w:val="00277E17"/>
    <w:rsid w:val="00293EB3"/>
    <w:rsid w:val="002E4373"/>
    <w:rsid w:val="002E632E"/>
    <w:rsid w:val="00303B5E"/>
    <w:rsid w:val="003044EE"/>
    <w:rsid w:val="00314F6A"/>
    <w:rsid w:val="00340F47"/>
    <w:rsid w:val="00353494"/>
    <w:rsid w:val="003608B1"/>
    <w:rsid w:val="00375AD3"/>
    <w:rsid w:val="003A58C3"/>
    <w:rsid w:val="003C7D0B"/>
    <w:rsid w:val="003D273C"/>
    <w:rsid w:val="003D27C5"/>
    <w:rsid w:val="003E33CE"/>
    <w:rsid w:val="003E3AF9"/>
    <w:rsid w:val="003F7559"/>
    <w:rsid w:val="0043429F"/>
    <w:rsid w:val="00462EA1"/>
    <w:rsid w:val="00463E08"/>
    <w:rsid w:val="004C0491"/>
    <w:rsid w:val="004D1BD2"/>
    <w:rsid w:val="004D5419"/>
    <w:rsid w:val="004D7BF6"/>
    <w:rsid w:val="004F0577"/>
    <w:rsid w:val="004F720C"/>
    <w:rsid w:val="00535886"/>
    <w:rsid w:val="005567EE"/>
    <w:rsid w:val="00566E4D"/>
    <w:rsid w:val="005759F9"/>
    <w:rsid w:val="0058047C"/>
    <w:rsid w:val="005A4955"/>
    <w:rsid w:val="005B25F2"/>
    <w:rsid w:val="005F29DA"/>
    <w:rsid w:val="00675717"/>
    <w:rsid w:val="00676DDF"/>
    <w:rsid w:val="00687DC2"/>
    <w:rsid w:val="006B1B44"/>
    <w:rsid w:val="006F029A"/>
    <w:rsid w:val="007176B3"/>
    <w:rsid w:val="00727FC5"/>
    <w:rsid w:val="00783354"/>
    <w:rsid w:val="007A192F"/>
    <w:rsid w:val="007B0834"/>
    <w:rsid w:val="007C2D18"/>
    <w:rsid w:val="007D34D1"/>
    <w:rsid w:val="007D5E14"/>
    <w:rsid w:val="007E4B3C"/>
    <w:rsid w:val="00807615"/>
    <w:rsid w:val="00826B6A"/>
    <w:rsid w:val="00826F2E"/>
    <w:rsid w:val="00832A97"/>
    <w:rsid w:val="00837933"/>
    <w:rsid w:val="0083796B"/>
    <w:rsid w:val="00871FD2"/>
    <w:rsid w:val="00882360"/>
    <w:rsid w:val="0088403D"/>
    <w:rsid w:val="00896B3B"/>
    <w:rsid w:val="008A1B15"/>
    <w:rsid w:val="008A24CA"/>
    <w:rsid w:val="008B7B47"/>
    <w:rsid w:val="008C47DF"/>
    <w:rsid w:val="008D2544"/>
    <w:rsid w:val="008E4B8A"/>
    <w:rsid w:val="008F14F0"/>
    <w:rsid w:val="008F7209"/>
    <w:rsid w:val="009042B9"/>
    <w:rsid w:val="00906861"/>
    <w:rsid w:val="009139AD"/>
    <w:rsid w:val="00920EB0"/>
    <w:rsid w:val="009237D2"/>
    <w:rsid w:val="009820DD"/>
    <w:rsid w:val="00986437"/>
    <w:rsid w:val="009C5BD0"/>
    <w:rsid w:val="009E0E53"/>
    <w:rsid w:val="009E52E5"/>
    <w:rsid w:val="009F5483"/>
    <w:rsid w:val="00A375B3"/>
    <w:rsid w:val="00A67654"/>
    <w:rsid w:val="00A743A2"/>
    <w:rsid w:val="00A93F9F"/>
    <w:rsid w:val="00AA40D4"/>
    <w:rsid w:val="00AA42EF"/>
    <w:rsid w:val="00AB6E9F"/>
    <w:rsid w:val="00B005A5"/>
    <w:rsid w:val="00B03637"/>
    <w:rsid w:val="00B05DFC"/>
    <w:rsid w:val="00B13CED"/>
    <w:rsid w:val="00B3058D"/>
    <w:rsid w:val="00B32A7E"/>
    <w:rsid w:val="00B40B4E"/>
    <w:rsid w:val="00B43D0A"/>
    <w:rsid w:val="00B80FA4"/>
    <w:rsid w:val="00BC33E7"/>
    <w:rsid w:val="00BD20C2"/>
    <w:rsid w:val="00C21F3B"/>
    <w:rsid w:val="00C34296"/>
    <w:rsid w:val="00C57A1F"/>
    <w:rsid w:val="00C776C9"/>
    <w:rsid w:val="00C92CF4"/>
    <w:rsid w:val="00CB276D"/>
    <w:rsid w:val="00CC0F36"/>
    <w:rsid w:val="00CC1067"/>
    <w:rsid w:val="00CC37C2"/>
    <w:rsid w:val="00CD12AA"/>
    <w:rsid w:val="00CE6B30"/>
    <w:rsid w:val="00CF1B9E"/>
    <w:rsid w:val="00D244E6"/>
    <w:rsid w:val="00D2703B"/>
    <w:rsid w:val="00D331AA"/>
    <w:rsid w:val="00D4673A"/>
    <w:rsid w:val="00D82BDE"/>
    <w:rsid w:val="00D92B61"/>
    <w:rsid w:val="00D97850"/>
    <w:rsid w:val="00DA4816"/>
    <w:rsid w:val="00DA746A"/>
    <w:rsid w:val="00DA7699"/>
    <w:rsid w:val="00DC0FCB"/>
    <w:rsid w:val="00DD7926"/>
    <w:rsid w:val="00E14751"/>
    <w:rsid w:val="00E1566D"/>
    <w:rsid w:val="00E30947"/>
    <w:rsid w:val="00E53769"/>
    <w:rsid w:val="00E7291B"/>
    <w:rsid w:val="00E7636C"/>
    <w:rsid w:val="00E80841"/>
    <w:rsid w:val="00E916E2"/>
    <w:rsid w:val="00EA0B76"/>
    <w:rsid w:val="00EA0F7B"/>
    <w:rsid w:val="00ED598E"/>
    <w:rsid w:val="00F15826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C2D8D"/>
    <w:rsid w:val="00FD68E6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C833-71E2-432F-80AE-6151881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Shannon</cp:lastModifiedBy>
  <cp:revision>28</cp:revision>
  <cp:lastPrinted>2011-10-29T13:58:00Z</cp:lastPrinted>
  <dcterms:created xsi:type="dcterms:W3CDTF">2011-10-26T03:01:00Z</dcterms:created>
  <dcterms:modified xsi:type="dcterms:W3CDTF">2011-10-29T14:07:00Z</dcterms:modified>
</cp:coreProperties>
</file>